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4" w:rsidRDefault="00723084" w:rsidP="00723084">
      <w:pPr>
        <w:spacing w:after="0"/>
      </w:pPr>
      <w:r>
        <w:t>Национальная образовательная инициатива "Наша новая школа"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УТВЕРЖДАЮ</w:t>
      </w:r>
    </w:p>
    <w:p w:rsidR="00723084" w:rsidRDefault="00723084" w:rsidP="00723084">
      <w:pPr>
        <w:spacing w:after="0"/>
      </w:pPr>
      <w:r>
        <w:t xml:space="preserve"> Президент Российской Федерации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Д.</w:t>
      </w:r>
      <w:r>
        <w:t xml:space="preserve"> </w:t>
      </w:r>
      <w:r>
        <w:t>Медведев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04 февраля 2010 г.</w:t>
      </w:r>
    </w:p>
    <w:p w:rsidR="00723084" w:rsidRDefault="00723084" w:rsidP="00723084">
      <w:pPr>
        <w:spacing w:after="0"/>
      </w:pPr>
      <w:r>
        <w:t xml:space="preserve"> Пр-271</w:t>
      </w:r>
      <w:bookmarkStart w:id="0" w:name="_GoBack"/>
      <w:bookmarkEnd w:id="0"/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Национальная образовательная инициатива </w:t>
      </w:r>
    </w:p>
    <w:p w:rsidR="00723084" w:rsidRDefault="00723084" w:rsidP="00723084">
      <w:pPr>
        <w:spacing w:after="0"/>
      </w:pPr>
      <w:r>
        <w:t xml:space="preserve"> "Наша новая школа"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>Школа будущего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Какими характеристиками должна обладать школа в 21-м веке?</w:t>
      </w:r>
    </w:p>
    <w:p w:rsidR="00723084" w:rsidRDefault="00723084" w:rsidP="00723084">
      <w:pPr>
        <w:spacing w:after="0"/>
      </w:pPr>
      <w:r>
        <w:t xml:space="preserve">        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>
        <w:t>медиатекой</w:t>
      </w:r>
      <w:proofErr w:type="spellEnd"/>
      <w: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>Основные направления развития общего образования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</w:t>
      </w:r>
      <w:r>
        <w:t xml:space="preserve"> 1. Переход на новые образовательные стандарты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нормативно-</w:t>
      </w:r>
      <w:proofErr w:type="spellStart"/>
      <w:r>
        <w:t>подушевого</w:t>
      </w:r>
      <w:proofErr w:type="spellEnd"/>
      <w: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</w:t>
      </w:r>
      <w:r>
        <w:lastRenderedPageBreak/>
        <w:t>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      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2. Развитие системы поддержки талантливых детей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В ближайшие годы в России будет выстроена разветвленная система поиска, поддержки и сопровождения талантливых детей.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Работа с одаренными детьми должна быть экономически целесообразной. Норматив </w:t>
      </w:r>
      <w:proofErr w:type="spellStart"/>
      <w:r>
        <w:t>подушевого</w:t>
      </w:r>
      <w:proofErr w:type="spellEnd"/>
      <w: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       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3. Совершенствование учительского корпуса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>
        <w:t>экономических механизмов</w:t>
      </w:r>
      <w:proofErr w:type="gramEnd"/>
      <w: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Не реже одного раза в пять лет </w:t>
      </w:r>
      <w:proofErr w:type="gramStart"/>
      <w:r>
        <w:t>учителя</w:t>
      </w:r>
      <w:proofErr w:type="gramEnd"/>
      <w: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>
        <w:t>подушевого</w:t>
      </w:r>
      <w:proofErr w:type="spellEnd"/>
      <w:r>
        <w:t xml:space="preserve">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       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4. Изменение школьной инфраструктуры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lastRenderedPageBreak/>
        <w:t xml:space="preserve">        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       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5. Сохранение и укрепление здоровья школьников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</w:t>
      </w:r>
      <w:r>
        <w:lastRenderedPageBreak/>
        <w:t xml:space="preserve">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       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6. Расширение самостоятельности школ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        </w:t>
      </w:r>
    </w:p>
    <w:p w:rsidR="00723084" w:rsidRDefault="00723084" w:rsidP="00723084">
      <w:pPr>
        <w:spacing w:after="0"/>
      </w:pPr>
    </w:p>
    <w:p w:rsidR="00723084" w:rsidRDefault="00723084" w:rsidP="00723084">
      <w:pPr>
        <w:spacing w:after="0"/>
      </w:pPr>
      <w:r>
        <w:t xml:space="preserve">        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       </w:t>
      </w:r>
    </w:p>
    <w:p w:rsidR="00723084" w:rsidRDefault="00723084" w:rsidP="00723084">
      <w:pPr>
        <w:spacing w:after="0"/>
      </w:pPr>
    </w:p>
    <w:p w:rsidR="00B22C69" w:rsidRDefault="00723084" w:rsidP="00723084">
      <w:pPr>
        <w:spacing w:after="0"/>
      </w:pPr>
      <w:r>
        <w:t xml:space="preserve">        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4"/>
    <w:rsid w:val="00723084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2015-01-31T08:35:00Z</dcterms:created>
  <dcterms:modified xsi:type="dcterms:W3CDTF">2015-01-31T08:38:00Z</dcterms:modified>
</cp:coreProperties>
</file>